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rPr>
          <w:b/>
          <w:sz w:val="48"/>
        </w:rPr>
        <w:t xml:space="preserve">RELATÓRIO TÉCNICO </w:t>
        <w:br/>
        <w:t xml:space="preserve"> xxx/CATRA/2024</w:t>
      </w:r>
    </w:p>
    <w:p/>
    <w:p>
      <w:pPr>
        <w:jc w:val="center"/>
      </w:pPr>
      <w:r>
        <w:rPr>
          <w:b/>
          <w:sz w:val="36"/>
        </w:rPr>
        <w:t>Atividades de Fiscalização na Estação Edson Passos</w:t>
      </w:r>
    </w:p>
    <w:p/>
    <w:p>
      <w:pPr>
        <w:jc w:val="center"/>
      </w:pPr>
      <w:r>
        <w:rPr>
          <w:sz w:val="36"/>
        </w:rPr>
        <w:t>Processo SEI-100003/00xxxx/2024</w:t>
      </w:r>
    </w:p>
    <w:p/>
    <w:p>
      <w:pPr>
        <w:jc w:val="center"/>
      </w:pPr>
      <w:r>
        <w:rPr>
          <w:sz w:val="40"/>
        </w:rPr>
        <w:t>Concessionária SuperVia</w:t>
      </w:r>
    </w:p>
    <w:p/>
    <w:p/>
    <w:p>
      <w:pPr>
        <w:jc w:val="right"/>
      </w:pPr>
      <w:r>
        <w:rPr>
          <w:sz w:val="28"/>
        </w:rPr>
        <w:br/>
        <w:t>Elaboração</w:t>
        <w:br/>
        <w:t>CATRA – Câmara de Transportes e Rodovias</w:t>
      </w:r>
    </w:p>
    <w:p/>
    <w:p/>
    <w:p/>
    <w:p>
      <w:pPr>
        <w:jc w:val="center"/>
      </w:pPr>
      <w:r>
        <w:rPr>
          <w:b/>
          <w:i/>
          <w:sz w:val="28"/>
        </w:rPr>
        <w:t>Outubro de 2024</w:t>
      </w:r>
    </w:p>
    <w:p>
      <w:r>
        <w:br w:type="page"/>
      </w:r>
    </w:p>
    <w:p/>
    <w:p>
      <w:pPr>
        <w:jc w:val="center"/>
      </w:pPr>
      <w:r>
        <w:rPr>
          <w:b/>
          <w:sz w:val="24"/>
        </w:rPr>
        <w:t>ÍNDICE</w:t>
      </w:r>
    </w:p>
    <w:p>
      <w:r>
        <w:br w:type="page"/>
      </w:r>
    </w:p>
    <w:p>
      <w:pPr>
        <w:pStyle w:val="Heading1"/>
      </w:pPr>
      <w:r>
        <w:rPr>
          <w:rFonts w:ascii="Palatino Linotype" w:hAnsi="Palatino Linotype"/>
          <w:color w:val="003366"/>
        </w:rPr>
        <w:t>1. INTRODUÇÃO</w:t>
      </w:r>
    </w:p>
    <w:p>
      <w:r>
        <w:t>O presente Relatório Técnico apresenta os resultados da vistoria realizada em 18 de outubro de 2024, na Estação de Edson Passos, sob a operação da Concessionária SuperVia.</w:t>
      </w:r>
    </w:p>
    <w:p>
      <w:pPr>
        <w:pStyle w:val="Heading1"/>
      </w:pPr>
      <w:r>
        <w:rPr>
          <w:rFonts w:ascii="Palatino Linotype" w:hAnsi="Palatino Linotype"/>
          <w:color w:val="003366"/>
        </w:rPr>
        <w:t>2. DESENVOLVIMENTO</w:t>
      </w:r>
    </w:p>
    <w:p>
      <w:pPr>
        <w:jc w:val="both"/>
      </w:pPr>
      <w:r>
        <w:t>No dia 18 de outubro de 2024, por volta das 10h30min Câmara de Transportes e Rodovias da AGETRANSP realizaram atividade de inspeção técnica na Estação de Edson Passos. O objetivo foi verificar a acessibilidade, condições de operacionalidade, limpeza e conservação, além da comunicação sonora e visual.</w:t>
      </w:r>
    </w:p>
    <w:p>
      <w:pPr>
        <w:pStyle w:val="Heading2"/>
      </w:pPr>
      <w:r>
        <w:rPr>
          <w:rFonts w:ascii="Palatino Linotype" w:hAnsi="Palatino Linotype"/>
          <w:color w:val="003366"/>
        </w:rPr>
        <w:t>2.1. Atividades Realizadas</w:t>
      </w:r>
    </w:p>
    <w:p>
      <w:pPr>
        <w:jc w:val="both"/>
      </w:pPr>
      <w:r>
        <w:t>Durante a atividade de fiscalização foram avaliados aspectos como acessibilidade, limpeza e conservação das plataformas, intervalos, mezaninos e assentos, itens de comunicação visual, conforme registros fotográficos apresentados a seguir:</w:t>
      </w:r>
    </w:p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5103"/>
        <w:gridCol w:w="5103"/>
      </w:tblGrid>
      <w:tr>
        <w:tc>
          <w:tcPr>
            <w:tcW w:type="dxa" w:w="5103"/>
          </w:tcPr>
          <w:p/>
        </w:tc>
        <w:tc>
          <w:tcPr>
            <w:tcW w:type="dxa" w:w="5103"/>
          </w:tcPr>
          <w:p/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5.02.55 (1).jpe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1: Descrição da imagem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5.02.55 (2).jpe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2: Descrição da imagem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5.02.55 (3).jpe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3: Descrição da imagem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5.02.55 (4).jpe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4: Descrição da imagem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5.02.55 (5).jpe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5: Descrição da imagem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5.02.55 (6).jpe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6: Descrição da imagem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5.02.55.jpe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7: Descrição da imagem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5.02.56 (1).jpe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8: Descrição da imagem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5.02.56 (2).jpe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9: Descrição da imagem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5.02.56 (3).jpe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10: Descrição da imagem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5.02.56 (4).jpe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11: Descrição da imagem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5.02.56 (5).jpe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12: Descrição da imagem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5.02.56 (6).jpe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13: Descrição da imagem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5.02.56 (7).jpe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14: Descrição da imagem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5.02.56 (8).jpe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15: Descrição da imagem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5.02.56 (9).jpe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16: Descrição da imagem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5.02.56 (10).jpe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17: Descrição da imagem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5.02.56.jpe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18: Descrição da imagem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5.02.57 (1).jpe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19: Descrição da imagem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5.02.57 (2).jpe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20: Descrição da imagem</w:t>
            </w:r>
          </w:p>
        </w:tc>
      </w:tr>
      <w:tr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5.02.57 (3).jpe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21: Descrição da imagem</w:t>
            </w:r>
          </w:p>
        </w:tc>
        <w:tc>
          <w:tcPr>
            <w:tcW w:type="dxa" w:w="5103"/>
          </w:tcPr>
          <w:p>
            <w:pPr>
              <w:spacing w:before="0"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4000" cy="23040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hatsApp Image 2024-07-29 at 15.02.57.jpe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230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  <w:br/>
            </w:r>
            <w:r>
              <w:rPr>
                <w:sz w:val="14"/>
              </w:rPr>
              <w:t>Figura 22: Descrição da imagem</w:t>
            </w:r>
          </w:p>
        </w:tc>
      </w:tr>
    </w:tbl>
    <w:p>
      <w:pPr>
        <w:pStyle w:val="Heading1"/>
      </w:pPr>
      <w:r>
        <w:rPr>
          <w:rFonts w:ascii="Palatino Linotype" w:hAnsi="Palatino Linotype"/>
          <w:color w:val="003366"/>
        </w:rPr>
        <w:t>3. CONSTATAÇÕES</w:t>
      </w:r>
    </w:p>
    <w:p>
      <w:pPr>
        <w:jc w:val="both"/>
      </w:pPr>
      <w:r>
        <w:t>Durante as vistorias, foram verificados aspectos fundamentais para uma boa experiência dos usuários, incluindo condições de conservação, limpeza, manutenção das faixas amarelas de segurança e piso tátil, e operacionalidade dos equipamentos instalados nas estações. As observações realizadas durante a inspeção são as seguintes:</w:t>
      </w:r>
    </w:p>
    <w:p>
      <w:pPr>
        <w:pStyle w:val="Heading2"/>
      </w:pPr>
      <w:r>
        <w:rPr>
          <w:rFonts w:ascii="Palatino Linotype" w:hAnsi="Palatino Linotype"/>
          <w:color w:val="003366"/>
        </w:rPr>
        <w:t>3.1. Edson Passos</w:t>
      </w:r>
    </w:p>
    <w:p>
      <w:pPr>
        <w:jc w:val="both"/>
      </w:pPr>
      <w:r>
        <w:t>Limpeza e conservação: A limpeza geral foi considerada adequada, no entanto, foi observado acúmulo de lixo próximo à plataforma 2 e rachaduras na cobertura da plataforma.</w:t>
      </w:r>
    </w:p>
    <w:p>
      <w:pPr>
        <w:jc w:val="both"/>
      </w:pPr>
      <w:r>
        <w:t>Comunicação sonora e visual: A comunicação sonora estava em funcionamento, mas os painéis eletrônicos estavam inoperantes, prejudicando a comunicação visual.</w:t>
      </w:r>
    </w:p>
    <w:p>
      <w:pPr>
        <w:jc w:val="both"/>
      </w:pPr>
      <w:r>
        <w:t>Acessibilidade: Foi constatada a ausência de piso tátil em diversas áreas da estação, além de desnível entre o trem e a plataforma, o que não atende às normas técnicas de acessibilidade.</w:t>
      </w:r>
    </w:p>
    <w:p>
      <w:pPr>
        <w:pStyle w:val="Heading1"/>
      </w:pPr>
      <w:r>
        <w:rPr>
          <w:rFonts w:ascii="Palatino Linotype" w:hAnsi="Palatino Linotype"/>
          <w:color w:val="003366"/>
        </w:rPr>
        <w:t>4. CONCLUSÃO</w:t>
      </w:r>
    </w:p>
    <w:p>
      <w:pPr>
        <w:jc w:val="both"/>
      </w:pPr>
      <w:r>
        <w:t>Diante das constatações apresentadas, recomenda-se que a concessionária SuperVia realize os reparos necessários e implementação das medidas corretivas no prazo máximo de 30 dias, a fim de garantir a segurança e acessibilidade.</w:t>
      </w:r>
    </w:p>
    <w:p/>
    <w:p>
      <w:r>
        <w:t>Em 18 de outubro de 2024,</w:t>
        <w:br/>
      </w:r>
    </w:p>
    <w:sectPr w:rsidR="00FC693F" w:rsidRPr="0006063C" w:rsidSect="00034616">
      <w:headerReference w:type="default" r:id="rId9"/>
      <w:pgSz w:w="11906" w:h="16838"/>
      <w:pgMar w:top="567" w:right="850" w:bottom="850" w:left="850" w:header="720" w:footer="720" w:gutter="0"/>
      <w:cols w:space="720"/>
      <w:docGrid w:linePitch="360"/>
      <w:pgBorders>
        <w:top w:val="single" w:sz="6" w:color="000000" w:space="50"/>
        <w:left w:val="single" w:sz="6" w:color="000000" w:space="50"/>
        <w:bottom w:val="single" w:sz="6" w:color="000000" w:space="50"/>
        <w:right w:val="single" w:sz="6" w:color="000000" w:space="50"/>
      </w:pgBorder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header1.xml><?xml version="1.0" encoding="utf-8"?>
<w:hd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Header"/>
    </w:pPr>
  </w:p>
  <w:tbl>
    <w:tblPr>
      <w:tblW w:type="auto" w:w="0"/>
      <w:jc w:val="center"/>
      <w:tblLook w:firstColumn="1" w:firstRow="1" w:lastColumn="0" w:lastRow="0" w:noHBand="0" w:noVBand="1" w:val="04A0"/>
    </w:tblPr>
    <w:tblGrid>
      <w:gridCol w:w="2835"/>
      <w:gridCol w:w="11339"/>
      <w:gridCol w:w="2835"/>
    </w:tblGrid>
    <w:tr>
      <w:tc>
        <w:tcPr>
          <w:tcW w:type="dxa" w:w="6614"/>
        </w:tcPr>
        <w:p>
          <w:r>
            <w:drawing>
              <wp:inline xmlns:a="http://schemas.openxmlformats.org/drawingml/2006/main" xmlns:pic="http://schemas.openxmlformats.org/drawingml/2006/picture">
                <wp:extent cx="914400" cy="476596"/>
                <wp:docPr id="1" name="Picture 1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0" name="Logo AGETRANSP.png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476596"/>
                        </a:xfrm>
                        <a:prstGeom prst="rect"/>
                      </pic:spPr>
                    </pic:pic>
                  </a:graphicData>
                </a:graphic>
              </wp:inline>
            </w:drawing>
          </w:r>
        </w:p>
      </w:tc>
      <w:tc>
        <w:tcPr>
          <w:tcW w:type="dxa" w:w="6614"/>
        </w:tcPr>
        <w:p>
          <w:pPr>
            <w:jc w:val="center"/>
          </w:pPr>
          <w:r>
            <w:rPr>
              <w:b/>
              <w:sz w:val="14"/>
            </w:rPr>
            <w:t>AGÊNCIA REGULADORA DE SERVIÇOS PÚBLICOS CONCEDIDOS DE TRANSPORTES AQUAVIÁRIOS, FERROVIÁRIOS E METROVIÁRIOS E DE RODOVIAS DO ESTADO DO RIO DE JANEIRO.</w:t>
          </w:r>
        </w:p>
      </w:tc>
      <w:tc>
        <w:tcPr>
          <w:tcW w:type="dxa" w:w="6614"/>
        </w:tcPr>
        <w:p>
          <w:pPr>
            <w:jc w:val="right"/>
          </w:pPr>
          <w:r>
            <w:rPr>
              <w:sz w:val="16"/>
            </w:rPr>
            <w:t xml:space="preserve">Página </w:t>
          </w:r>
        </w:p>
      </w:tc>
    </w:tr>
  </w:tbl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Palatino Linotype" w:hAnsi="Palatino Linotype"/>
      <w:sz w:val="24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eader" Target="header1.xml"/><Relationship Id="rId10" Type="http://schemas.openxmlformats.org/officeDocument/2006/relationships/image" Target="media/image2.jpeg"/><Relationship Id="rId11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jpeg"/><Relationship Id="rId15" Type="http://schemas.openxmlformats.org/officeDocument/2006/relationships/image" Target="media/image7.jpeg"/><Relationship Id="rId16" Type="http://schemas.openxmlformats.org/officeDocument/2006/relationships/image" Target="media/image8.jpeg"/><Relationship Id="rId17" Type="http://schemas.openxmlformats.org/officeDocument/2006/relationships/image" Target="media/image9.jpeg"/><Relationship Id="rId18" Type="http://schemas.openxmlformats.org/officeDocument/2006/relationships/image" Target="media/image10.jpeg"/><Relationship Id="rId19" Type="http://schemas.openxmlformats.org/officeDocument/2006/relationships/image" Target="media/image11.jpeg"/><Relationship Id="rId20" Type="http://schemas.openxmlformats.org/officeDocument/2006/relationships/image" Target="media/image12.jpeg"/><Relationship Id="rId21" Type="http://schemas.openxmlformats.org/officeDocument/2006/relationships/image" Target="media/image13.jpeg"/><Relationship Id="rId22" Type="http://schemas.openxmlformats.org/officeDocument/2006/relationships/image" Target="media/image14.jpeg"/><Relationship Id="rId23" Type="http://schemas.openxmlformats.org/officeDocument/2006/relationships/image" Target="media/image15.jpeg"/><Relationship Id="rId24" Type="http://schemas.openxmlformats.org/officeDocument/2006/relationships/image" Target="media/image16.jpeg"/><Relationship Id="rId25" Type="http://schemas.openxmlformats.org/officeDocument/2006/relationships/image" Target="media/image17.jpeg"/><Relationship Id="rId26" Type="http://schemas.openxmlformats.org/officeDocument/2006/relationships/image" Target="media/image18.jpeg"/><Relationship Id="rId27" Type="http://schemas.openxmlformats.org/officeDocument/2006/relationships/image" Target="media/image19.jpeg"/><Relationship Id="rId28" Type="http://schemas.openxmlformats.org/officeDocument/2006/relationships/image" Target="media/image20.jpeg"/><Relationship Id="rId29" Type="http://schemas.openxmlformats.org/officeDocument/2006/relationships/image" Target="media/image21.jpeg"/><Relationship Id="rId30" Type="http://schemas.openxmlformats.org/officeDocument/2006/relationships/image" Target="media/image22.jpeg"/><Relationship Id="rId31" Type="http://schemas.openxmlformats.org/officeDocument/2006/relationships/image" Target="media/image23.jpe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